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4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8FCEB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211B8F01">
      <w:pPr>
        <w:spacing w:after="0" w:line="24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会展亚洲CEO峰会</w:t>
      </w:r>
    </w:p>
    <w:p w14:paraId="7DBE84A5">
      <w:pPr>
        <w:spacing w:after="0" w:line="240" w:lineRule="auto"/>
        <w:rPr>
          <w:rFonts w:hint="eastAsia"/>
          <w:sz w:val="24"/>
        </w:rPr>
      </w:pPr>
    </w:p>
    <w:p w14:paraId="088E333E">
      <w:pPr>
        <w:spacing w:after="0" w:line="240" w:lineRule="auto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  由全球会展主办协会AEO，独立主办方协会SISO，全球展览行业协会UFI，以及新加坡会议和展览主办方及供应商协会SACEOS共同主办的会展亚洲CEO 峰会将于今年</w:t>
      </w:r>
      <w:r>
        <w:rPr>
          <w:rFonts w:hint="eastAsia"/>
          <w:b/>
          <w:bCs/>
          <w:sz w:val="24"/>
        </w:rPr>
        <w:t>9月24-26日在新加坡滨海湾宾乐雅臻选酒店</w:t>
      </w:r>
      <w:r>
        <w:rPr>
          <w:rFonts w:hint="eastAsia"/>
          <w:sz w:val="24"/>
        </w:rPr>
        <w:t>举办。在此，诚邀中国会展主办企业CEO和高管出席峰会交流，开拓对接东南亚市场的会展新机遇。</w:t>
      </w:r>
    </w:p>
    <w:p w14:paraId="059AC42C">
      <w:pPr>
        <w:spacing w:after="0" w:line="240" w:lineRule="auto"/>
        <w:rPr>
          <w:rFonts w:hint="eastAsia"/>
          <w:sz w:val="24"/>
        </w:rPr>
      </w:pPr>
    </w:p>
    <w:p w14:paraId="61F288EE">
      <w:pPr>
        <w:spacing w:after="0" w:line="240" w:lineRule="auto"/>
        <w:rPr>
          <w:rFonts w:hint="eastAsia"/>
          <w:sz w:val="24"/>
        </w:rPr>
      </w:pPr>
      <w:r>
        <w:rPr>
          <w:sz w:val="24"/>
        </w:rPr>
        <w:drawing>
          <wp:inline distT="0" distB="0" distL="0" distR="0">
            <wp:extent cx="5092700" cy="4665345"/>
            <wp:effectExtent l="0" t="0" r="12700" b="13334"/>
            <wp:docPr id="1026" name="图片 1" descr="人们在看台上的人群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人们在看台上的人群&#10;&#10;中度可信度描述已自动生成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665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EE6D5">
      <w:pPr>
        <w:spacing w:after="0" w:line="24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www.asiaceosummit.com</w:t>
      </w:r>
    </w:p>
    <w:p w14:paraId="49E3A54B">
      <w:pPr>
        <w:spacing w:after="0" w:line="240" w:lineRule="auto"/>
        <w:rPr>
          <w:rFonts w:hint="eastAsia"/>
          <w:b/>
          <w:bCs/>
          <w:color w:val="8EAADB"/>
          <w:sz w:val="32"/>
          <w:szCs w:val="32"/>
        </w:rPr>
      </w:pPr>
    </w:p>
    <w:p w14:paraId="326E75F5">
      <w:pPr>
        <w:spacing w:after="0" w:line="240" w:lineRule="auto"/>
        <w:rPr>
          <w:rFonts w:hint="eastAsia"/>
          <w:b/>
          <w:bCs/>
          <w:color w:val="8EAADB"/>
          <w:sz w:val="32"/>
          <w:szCs w:val="32"/>
        </w:rPr>
      </w:pPr>
      <w:r>
        <w:rPr>
          <w:rFonts w:hint="eastAsia"/>
          <w:b/>
          <w:bCs/>
          <w:color w:val="8EAADB"/>
          <w:sz w:val="32"/>
          <w:szCs w:val="32"/>
        </w:rPr>
        <w:t>亚洲CEO 峰会的内容话题是什么？</w:t>
      </w:r>
    </w:p>
    <w:p w14:paraId="4283363B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会展全球领袖如何看待亚洲会展目前的情况？</w:t>
      </w:r>
    </w:p>
    <w:p w14:paraId="5B8F6FA4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在全球区域政治影响下，会展业还有哪些机会？</w:t>
      </w:r>
    </w:p>
    <w:p w14:paraId="2B357E5D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在客户分析与会展投入产出比方面，全球会展趋势将带动亚洲如何发展？</w:t>
      </w:r>
    </w:p>
    <w:p w14:paraId="7214193A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如何引入战略合作伙伴助力会展业务的长期发展？</w:t>
      </w:r>
    </w:p>
    <w:p w14:paraId="0591E534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印度市场是否迎来新的机遇？</w:t>
      </w:r>
    </w:p>
    <w:p w14:paraId="3339046A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中国会展业的现状以及2025年预期？</w:t>
      </w:r>
    </w:p>
    <w:p w14:paraId="6F844C94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现今挑战下需要理念的突破，会展CEO们更应关注什么创造价值最大化？</w:t>
      </w:r>
    </w:p>
    <w:p w14:paraId="12555A6D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除了卖展位，会展还有哪些创新盈利模式？</w:t>
      </w:r>
    </w:p>
    <w:p w14:paraId="014A2046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中国会展出海东南亚机遇与挑战？</w:t>
      </w:r>
    </w:p>
    <w:p w14:paraId="4C03C517">
      <w:pPr>
        <w:pStyle w:val="21"/>
        <w:numPr>
          <w:ilvl w:val="0"/>
          <w:numId w:val="1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亚洲会展收并购的期待会在哪些领域？</w:t>
      </w:r>
    </w:p>
    <w:p w14:paraId="49AEC360">
      <w:pPr>
        <w:spacing w:after="0" w:line="24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峰会将特邀100余位来自亚洲地区和全球会展主办的CEO和高管现场参会，来共同呈现以上主题的精彩有讨论。</w:t>
      </w:r>
    </w:p>
    <w:p w14:paraId="33348D93">
      <w:pPr>
        <w:spacing w:after="0" w:line="240" w:lineRule="auto"/>
        <w:rPr>
          <w:rFonts w:hint="eastAsia"/>
          <w:b/>
          <w:bCs/>
          <w:color w:val="8EAADB"/>
          <w:sz w:val="32"/>
          <w:szCs w:val="32"/>
        </w:rPr>
      </w:pPr>
      <w:r>
        <w:rPr>
          <w:rFonts w:hint="eastAsia"/>
          <w:b/>
          <w:bCs/>
          <w:color w:val="8EAADB"/>
          <w:sz w:val="32"/>
          <w:szCs w:val="32"/>
        </w:rPr>
        <w:t>为何参加亚洲CEO峰会？能给中国会展主办带来什么？</w:t>
      </w:r>
    </w:p>
    <w:p w14:paraId="18C93618">
      <w:pPr>
        <w:pStyle w:val="21"/>
        <w:numPr>
          <w:ilvl w:val="0"/>
          <w:numId w:val="2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了解会展亚洲市场的现状：中国会展卷之又卷，亚洲市场又是何翻景象</w:t>
      </w:r>
      <w:r>
        <w:rPr>
          <w:rFonts w:hint="eastAsia"/>
          <w:b/>
          <w:bCs/>
          <w:color w:val="8EAADB"/>
          <w:sz w:val="24"/>
        </w:rPr>
        <w:t>？</w:t>
      </w:r>
    </w:p>
    <w:p w14:paraId="22093C51">
      <w:pPr>
        <w:pStyle w:val="21"/>
        <w:numPr>
          <w:ilvl w:val="0"/>
          <w:numId w:val="2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站在外视角来看中国会展：世界在变，亚洲随之而变，中国何以为鉴？</w:t>
      </w:r>
    </w:p>
    <w:p w14:paraId="258ED906">
      <w:pPr>
        <w:pStyle w:val="21"/>
        <w:numPr>
          <w:ilvl w:val="0"/>
          <w:numId w:val="2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了解亚洲市场的机遇：新加坡、越南、泰国、马来西亚、印尼、印度等蕴含哪些会展机遇？如何迎面机遇与挑战？</w:t>
      </w:r>
    </w:p>
    <w:p w14:paraId="727D7DCA">
      <w:pPr>
        <w:pStyle w:val="21"/>
        <w:numPr>
          <w:ilvl w:val="0"/>
          <w:numId w:val="2"/>
        </w:numPr>
        <w:spacing w:after="0" w:line="240" w:lineRule="auto"/>
        <w:rPr>
          <w:rFonts w:hint="eastAsia"/>
          <w:b/>
          <w:bCs/>
          <w:color w:val="8EAADB"/>
          <w:sz w:val="24"/>
        </w:rPr>
      </w:pPr>
      <w:r>
        <w:rPr>
          <w:rFonts w:hint="eastAsia"/>
          <w:sz w:val="24"/>
        </w:rPr>
        <w:t>探究会展新模式：如何以客户核心的价值来创造会展新体验？还有哪些展位之外的盈利新模式？</w:t>
      </w:r>
    </w:p>
    <w:p w14:paraId="4753201D">
      <w:pPr>
        <w:spacing w:after="0" w:line="24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为中国会展主办的高管CEO带来更开阔的视野和更高的着眼点，了解全球和亚洲会展发展趋势，发掘中国会展新机遇、新理念、新模式，与国际合作共赢。</w:t>
      </w:r>
    </w:p>
    <w:p w14:paraId="207F642E">
      <w:pPr>
        <w:spacing w:after="0" w:line="24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color w:val="8EAADB"/>
          <w:sz w:val="32"/>
          <w:szCs w:val="32"/>
        </w:rPr>
        <w:t xml:space="preserve">参加峰会之外，还有什么特别安排？ </w:t>
      </w:r>
      <w:r>
        <w:rPr>
          <w:rFonts w:hint="eastAsia"/>
          <w:b/>
          <w:bCs/>
          <w:sz w:val="24"/>
        </w:rPr>
        <w:t xml:space="preserve"> </w:t>
      </w:r>
    </w:p>
    <w:p w14:paraId="4295B9A2">
      <w:pPr>
        <w:spacing w:after="0" w:line="24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新加坡旅游局为中国团特别定制9月23-28日（6天5晚）在新加坡的全程安排包括：机票+住宿+商务考察+峰会+餐食+交通（1800美金/人）</w:t>
      </w:r>
    </w:p>
    <w:p w14:paraId="572145DF">
      <w:pPr>
        <w:spacing w:after="0" w:line="240" w:lineRule="auto"/>
        <w:rPr>
          <w:rFonts w:hint="eastAsia"/>
          <w:b/>
          <w:bCs/>
          <w:color w:val="8EAADB"/>
          <w:sz w:val="32"/>
          <w:szCs w:val="32"/>
        </w:rPr>
      </w:pPr>
      <w:r>
        <w:rPr>
          <w:rFonts w:hint="eastAsia"/>
          <w:b/>
          <w:bCs/>
          <w:color w:val="8EAADB"/>
          <w:sz w:val="32"/>
          <w:szCs w:val="32"/>
        </w:rPr>
        <w:t xml:space="preserve">上届参与者的亲身体验与评价： </w:t>
      </w:r>
    </w:p>
    <w:p w14:paraId="4C75E0F2">
      <w:pPr>
        <w:spacing w:after="0" w:line="240" w:lineRule="auto"/>
        <w:rPr>
          <w:rFonts w:hint="eastAsia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rFonts w:hint="eastAsia"/>
          <w:b/>
          <w:bCs/>
          <w:color w:val="000000"/>
          <w:sz w:val="24"/>
        </w:rPr>
        <w:t>“新加坡拥有非常丰富的会议和展览场地资源，开放的政策环境以及优越的地理位置，是非常理想的会议展览活动的举办目的地。特别要强调的是新加坡拥有众多跨国公司的区域总部及研发中心，适合举办面向高层决策者和研发创新类型的展览会。另外，去年新加坡旅游局为中国团特别策划的活动，服务非常用心，很多很多细节让人感动，非常精致的会议和商务考察体验。”</w:t>
      </w:r>
    </w:p>
    <w:p w14:paraId="2C5AB670">
      <w:pPr>
        <w:spacing w:after="0"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24"/>
        </w:rPr>
        <w:t xml:space="preserve">                                 —— 北京汇捷通创始人兼CEO 边海龙 </w:t>
      </w:r>
    </w:p>
    <w:p w14:paraId="6761CD5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0" w:h="16840"/>
      <w:pgMar w:top="1701" w:right="1474" w:bottom="1587" w:left="1587" w:header="851" w:footer="992" w:gutter="0"/>
      <w:pgNumType w:fmt="numberInDash" w:start="1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FF516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6D0CC1C">
                          <w:pPr>
                            <w:pStyle w:val="6"/>
                            <w:rPr>
                              <w:rStyle w:val="14"/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ju4YD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D0CC1C">
                    <w:pPr>
                      <w:pStyle w:val="6"/>
                      <w:rPr>
                        <w:rStyle w:val="14"/>
                        <w:rFonts w:hint="eastAsia" w:ascii="宋体" w:hAnsi="宋体" w:eastAsia="宋体" w:cs="宋体"/>
                      </w:rPr>
                    </w:pP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zAwZjc1YTUyODFkNjJmMDZlYjEyZTcwYzZlOWEifQ=="/>
  </w:docVars>
  <w:rsids>
    <w:rsidRoot w:val="00000000"/>
    <w:rsid w:val="6F6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</w:style>
  <w:style w:type="character" w:styleId="15">
    <w:name w:val="Emphasis"/>
    <w:basedOn w:val="12"/>
    <w:qFormat/>
    <w:uiPriority w:val="0"/>
    <w:rPr>
      <w:i/>
      <w:iCs/>
    </w:rPr>
  </w:style>
  <w:style w:type="character" w:styleId="16">
    <w:name w:val="Hyperlink"/>
    <w:basedOn w:val="12"/>
    <w:qFormat/>
    <w:uiPriority w:val="99"/>
    <w:rPr>
      <w:color w:val="0563C1"/>
      <w:u w:val="single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</w:pPr>
    <w:rPr>
      <w:rFonts w:cs="宋体"/>
    </w:rPr>
  </w:style>
  <w:style w:type="paragraph" w:customStyle="1" w:styleId="19">
    <w:name w:val="TOC Heading_8554781b-51b7-44a4-acc8-9e1f89421710"/>
    <w:basedOn w:val="2"/>
    <w:next w:val="1"/>
    <w:qFormat/>
    <w:uiPriority w:val="39"/>
    <w:pPr>
      <w:spacing w:before="240" w:after="0" w:line="259" w:lineRule="auto"/>
      <w:outlineLvl w:val="9"/>
    </w:pPr>
    <w:rPr>
      <w:rFonts w:ascii="Calibri Light" w:hAnsi="Calibri Light" w:eastAsia="宋体" w:cs="宋体"/>
      <w:b w:val="0"/>
      <w:bCs w:val="0"/>
      <w:color w:val="2E75B6"/>
      <w:kern w:val="0"/>
      <w:sz w:val="32"/>
      <w:szCs w:val="32"/>
    </w:rPr>
  </w:style>
  <w:style w:type="paragraph" w:customStyle="1" w:styleId="20">
    <w:name w:val="石墨文档正文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table" w:customStyle="1" w:styleId="23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2459</Words>
  <Characters>2825</Characters>
  <Paragraphs>245</Paragraphs>
  <TotalTime>10</TotalTime>
  <ScaleCrop>false</ScaleCrop>
  <LinksUpToDate>false</LinksUpToDate>
  <CharactersWithSpaces>3331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2023-05-23T15:52:00Z</dcterms:created>
  <dc:creator>Olivine</dc:creator>
  <cp:lastModifiedBy>86133</cp:lastModifiedBy>
  <cp:lastPrinted>2023-11-03T07:40:00Z</cp:lastPrinted>
  <dcterms:modified xsi:type="dcterms:W3CDTF">2024-08-22T15:08:05Z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9CAD0E2A076C45F1B8580A61A3090732_13</vt:lpwstr>
  </property>
</Properties>
</file>